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hint="default"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>
      <w:pPr>
        <w:jc w:val="center"/>
        <w:rPr>
          <w:rFonts w:ascii="GHEA Grapalat" w:hAnsi="GHEA Grapalat"/>
          <w:b/>
          <w:lang w:val="hy-AM"/>
        </w:rPr>
      </w:pPr>
    </w:p>
    <w:p w14:paraId="56C20C87">
      <w:pPr>
        <w:jc w:val="center"/>
        <w:rPr>
          <w:rFonts w:ascii="GHEA Grapalat" w:hAnsi="GHEA Grapalat"/>
          <w:sz w:val="20"/>
          <w:lang w:val="hy-AM"/>
        </w:rPr>
      </w:pPr>
    </w:p>
    <w:p w14:paraId="624D1C56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hint="default" w:ascii="GHEA Grapalat" w:hAnsi="GHEA Grapalat"/>
                <w:b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i/>
                <w:iCs/>
                <w:color w:val="auto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af-ZA"/>
              </w:rPr>
              <w:t xml:space="preserve">Աքորի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af-ZA"/>
              </w:rPr>
              <w:t xml:space="preserve">բնակավայրի մշակութի տան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hy-AM"/>
              </w:rPr>
              <w:t>շենքի</w:t>
            </w:r>
            <w:r>
              <w:rPr>
                <w:rFonts w:hint="default"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hy-AM"/>
              </w:rPr>
              <w:t>կապիտալ վերանորոգման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iCs/>
                <w:color w:val="auto"/>
                <w:sz w:val="20"/>
                <w:szCs w:val="18"/>
                <w:lang w:val="hy-AM"/>
              </w:rPr>
              <w:t>աշխատա</w:t>
            </w:r>
            <w:r>
              <w:rPr>
                <w:rFonts w:ascii="GHEA Grapalat" w:hAnsi="GHEA Grapalat" w:cs="Sylfaen"/>
                <w:b/>
                <w:color w:val="auto"/>
                <w:sz w:val="20"/>
                <w:szCs w:val="18"/>
                <w:lang w:val="hy-AM"/>
              </w:rPr>
              <w:t xml:space="preserve">նքների </w:t>
            </w:r>
            <w:r>
              <w:rPr>
                <w:rFonts w:ascii="GHEA Grapalat" w:hAnsi="GHEA Grapalat" w:cs="Sylfaen"/>
                <w:b/>
                <w:color w:val="auto"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color w:val="auto"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color w:val="auto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auto"/>
                <w:sz w:val="20"/>
                <w:szCs w:val="18"/>
                <w:lang w:val="ru-RU"/>
              </w:rPr>
              <w:t>ձեռքբերում</w:t>
            </w:r>
            <w:r>
              <w:rPr>
                <w:rFonts w:hint="default" w:ascii="GHEA Grapalat" w:hAnsi="GHEA Grapalat" w:cs="Sylfaen"/>
                <w:b/>
                <w:color w:val="auto"/>
                <w:sz w:val="20"/>
                <w:szCs w:val="18"/>
                <w:lang w:val="hy-AM"/>
              </w:rPr>
              <w:t xml:space="preserve"> </w:t>
            </w:r>
            <w:r>
              <w:rPr>
                <w:rFonts w:hint="default" w:ascii="GHEA Grapalat" w:hAnsi="GHEA Grapalat"/>
                <w:b/>
                <w:color w:val="auto"/>
                <w:sz w:val="20"/>
                <w:szCs w:val="20"/>
                <w:shd w:val="clear" w:color="auto" w:fill="FFFFFF"/>
                <w:lang w:val="hy-AM"/>
              </w:rPr>
              <w:t>և պարզ փորձաքննության տրամադրում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83B86B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 Շենք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ը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երկհարկ է, որ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ի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ներքին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մակերեսը կազմում է 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903,6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քմ։</w:t>
            </w:r>
          </w:p>
          <w:p w14:paraId="7F54DF65">
            <w:pPr>
              <w:pStyle w:val="76"/>
              <w:spacing w:after="240"/>
              <w:ind w:left="-74" w:right="284" w:firstLine="284"/>
              <w:jc w:val="both"/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Կապիտալ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վերանորոգման աշխատանքներում տանիքի վերանորոգման աշխատանքներ չնախատեսել։ </w:t>
            </w:r>
          </w:p>
          <w:p w14:paraId="2BB3C493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Նախատեսել՝</w:t>
            </w:r>
          </w:p>
          <w:p w14:paraId="02832DE8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7D84D3FA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6BC50E96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01CD8F8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ջեռուցման,</w:t>
            </w:r>
          </w:p>
          <w:p w14:paraId="0E78D442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հովացման,</w:t>
            </w:r>
          </w:p>
          <w:p w14:paraId="166F35C4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4FEB30FD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 շենքի հարդարման, արտաքին բարեկարգման, ցանկապատման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>, գույքով կահավորման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և այլ անհրաժեշտ աշխատանքներ ըստ պատվիրատուի ցուցումների։</w:t>
            </w:r>
          </w:p>
          <w:p w14:paraId="66111590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Բնակչության սակավաշարժ խմբերի և հաշմանդամություն ունեցող անձանց համար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ապօահովել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շենքի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մատչելիությ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ունը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</w:t>
            </w:r>
          </w:p>
          <w:p w14:paraId="08A0114E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hint="default" w:ascii="GHEA Grapalat" w:hAnsi="GHEA Grapalat" w:cs="GHEA Grapalat"/>
                <w:b w:val="0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</w:rPr>
              <w:t>տարածքի տեղագրագեոդեզիական  հանույթներ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  <w:lang w:val="hy-AM"/>
              </w:rPr>
              <w:t xml:space="preserve"> և չափագրություն</w:t>
            </w:r>
          </w:p>
          <w:p w14:paraId="72613980">
            <w:pPr>
              <w:jc w:val="both"/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Անհրաժեշտ փորձաքննություն - Պարզ փորձաքննություն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en-US"/>
              </w:rPr>
              <w:t>`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կազմակերպության կողմից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0AC445AA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պարզ</w:t>
            </w:r>
            <w:r>
              <w:rPr>
                <w:rFonts w:hint="default"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 և համալիր </w:t>
            </w: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փորձաքննության դրական եզրակացություններ ստանալուց հետո: 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Սուբվենցիոն ծրագիր </w:t>
            </w:r>
          </w:p>
          <w:p w14:paraId="369BD89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bookmarkStart w:id="0" w:name="_GoBack"/>
            <w:bookmarkEnd w:id="0"/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18"/>
                <w:szCs w:val="15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և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b w:val="0"/>
                <w:bCs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>&gt; N 95-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ՀՀ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ՀՀՇՆ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բնական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մի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շարք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ուժը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>» N 56-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դեկտեմբերի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Պետական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միջոցների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հաշվին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վերակառուցվող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նորոգվող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օբյեկտներում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էներգախնայողության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բարձրացմանն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ուղղված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միջոցառումների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կիրառման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» N 1504-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որոշում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մայիսի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Գնումների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գործընթացի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կազմակերպման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կարգը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հաստատելու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փետրվարի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որոշումը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ուժը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կորցրած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ճանաչելու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>» N 526-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որոշման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Կարգի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>33-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կետի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ենթակետի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18"/>
                <w:szCs w:val="15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մարտի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18"/>
                <w:szCs w:val="15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N596-Ն որոշում</w:t>
            </w:r>
          </w:p>
          <w:p w14:paraId="7A3E1939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ind w:left="240" w:leftChars="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3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28F2E637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hint="default"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2"/>
              <w:gridCol w:w="5589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1․ 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հողմաէներգետիկ կայաններ)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1-ին դաս</w:t>
                  </w:r>
                </w:p>
                <w:p w14:paraId="504742B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2․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1-ին դաս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3․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1-ին դաս</w:t>
                  </w:r>
                </w:p>
              </w:tc>
            </w:tr>
          </w:tbl>
          <w:p w14:paraId="3A44DA59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hint="default"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3FC5004E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2C163994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0860B3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4215966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7AA933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3D79D520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2B643083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46E2F841">
      <w:pPr>
        <w:jc w:val="both"/>
        <w:rPr>
          <w:rFonts w:ascii="GHEA Grapalat" w:hAnsi="GHEA Grapalat"/>
        </w:rPr>
      </w:pPr>
    </w:p>
    <w:p w14:paraId="2E07D6A4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61AF2D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02DB91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ABC8A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49C245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6884CE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7F32C1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B306F8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BF306B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1E3552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002FE28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CE2B9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69AF6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0698A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621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71A900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862709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93ED3A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ACB79C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6AB460B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A81057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5554DE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970ED9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B3D857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04C983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23D7C8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AD678E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3778FAD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1F90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ED9F89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A233A5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89D284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4FDC7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4EFE9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tbl>
      <w:tblPr>
        <w:tblStyle w:val="12"/>
        <w:tblpPr w:leftFromText="180" w:rightFromText="180" w:vertAnchor="text" w:horzAnchor="page" w:tblpX="2474" w:tblpY="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4768"/>
      </w:tblGrid>
      <w:tr w14:paraId="7DC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shd w:val="clear" w:color="auto" w:fill="D5DCE4"/>
            <w:vAlign w:val="center"/>
          </w:tcPr>
          <w:p w14:paraId="3F49CAD4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shd w:val="clear" w:color="auto" w:fill="D5DCE4"/>
            <w:vAlign w:val="center"/>
          </w:tcPr>
          <w:p w14:paraId="411638A9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14:paraId="28B6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45C81B5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7E04BBF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75BC0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1F1B22F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08E524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3A54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3DCAE58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116C01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7AF6D0D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4F456C9"/>
    <w:rsid w:val="111D1258"/>
    <w:rsid w:val="12DD4B47"/>
    <w:rsid w:val="21711BE6"/>
    <w:rsid w:val="2CD31E80"/>
    <w:rsid w:val="2D094A77"/>
    <w:rsid w:val="3F000798"/>
    <w:rsid w:val="3F0B2310"/>
    <w:rsid w:val="4BBE1B75"/>
    <w:rsid w:val="539B59A1"/>
    <w:rsid w:val="6A1C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1030</Words>
  <Characters>8704</Characters>
  <Lines>53</Lines>
  <Paragraphs>14</Paragraphs>
  <TotalTime>6</TotalTime>
  <ScaleCrop>false</ScaleCrop>
  <LinksUpToDate>false</LinksUpToDate>
  <CharactersWithSpaces>9954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Ալավերդու քաղշին</cp:lastModifiedBy>
  <cp:lastPrinted>2026-06-04T12:00:38Z</cp:lastPrinted>
  <dcterms:modified xsi:type="dcterms:W3CDTF">2026-06-04T12:02:04Z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E6E3C03E9A1E4B6C80E41E210FABB265_12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